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30672">
      <w:pPr>
        <w:spacing w:line="579"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A9C8997">
      <w:pPr>
        <w:spacing w:line="579" w:lineRule="exact"/>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eastAsia="zh-CN"/>
        </w:rPr>
        <w:t>第十四届中国创新创业大赛低空经济领域专业赛晋级决赛企业及团队名单</w:t>
      </w:r>
    </w:p>
    <w:p w14:paraId="295E36E8">
      <w:pPr>
        <w:spacing w:line="57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一、关键技术及场景应用创新</w:t>
      </w:r>
    </w:p>
    <w:tbl>
      <w:tblPr>
        <w:tblStyle w:val="3"/>
        <w:tblpPr w:leftFromText="180" w:rightFromText="180" w:vertAnchor="text" w:horzAnchor="page" w:tblpX="2232" w:tblpY="57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9"/>
        <w:gridCol w:w="7184"/>
      </w:tblGrid>
      <w:tr w14:paraId="6FE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619952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序号</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4A1EAA0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企业/团队名称</w:t>
            </w:r>
          </w:p>
        </w:tc>
      </w:tr>
      <w:tr w14:paraId="40F9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E9AA3E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54DBE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季华实验室具身智能团队</w:t>
            </w:r>
          </w:p>
        </w:tc>
      </w:tr>
      <w:tr w14:paraId="77BC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8969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0BEDC7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厦门岙邗科技有限公司</w:t>
            </w:r>
          </w:p>
        </w:tc>
      </w:tr>
      <w:tr w14:paraId="3153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638CB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0345C4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希龙科技（深圳）有限公司</w:t>
            </w:r>
          </w:p>
        </w:tc>
      </w:tr>
      <w:tr w14:paraId="37AA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64A39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4</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44608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空天知行合一(温州)航天科技有限公司</w:t>
            </w:r>
          </w:p>
        </w:tc>
      </w:tr>
      <w:tr w14:paraId="4A2B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CA49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5</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2A5C56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深圳市天海世界卫星应用科技有限公司</w:t>
            </w:r>
          </w:p>
        </w:tc>
      </w:tr>
      <w:tr w14:paraId="282F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E9833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6</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1F5CD4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万骏光电科研团队</w:t>
            </w:r>
          </w:p>
        </w:tc>
      </w:tr>
      <w:tr w14:paraId="04AE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2A30B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7</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4961D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低空“星链”--空天地海四维智能综合管控平台</w:t>
            </w:r>
          </w:p>
        </w:tc>
      </w:tr>
      <w:tr w14:paraId="5F8E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4B42C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8</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050A9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中科启迪光电子科技（广州）有限公司</w:t>
            </w:r>
          </w:p>
        </w:tc>
      </w:tr>
      <w:tr w14:paraId="610E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5E356A8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9</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CAB2D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四川引磁创新科技集团有限责任公司</w:t>
            </w:r>
          </w:p>
        </w:tc>
      </w:tr>
      <w:tr w14:paraId="22B8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83FEE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10</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598F5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杭州安怀达智能科技有限公司</w:t>
            </w:r>
          </w:p>
        </w:tc>
      </w:tr>
      <w:tr w14:paraId="11B5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BB202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11</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3DB3C2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北京太宇星空探索科技有限公司</w:t>
            </w:r>
          </w:p>
        </w:tc>
      </w:tr>
      <w:tr w14:paraId="63AC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A2D7C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12</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1BA1AE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马熊数创（深圳）网络科技有限公司</w:t>
            </w:r>
          </w:p>
        </w:tc>
      </w:tr>
      <w:tr w14:paraId="4B70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4C233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13</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BF6E6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杭州竟宇动力科技有限公司</w:t>
            </w:r>
          </w:p>
        </w:tc>
      </w:tr>
      <w:tr w14:paraId="132B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8670B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14</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EE668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智安飞行科创团队</w:t>
            </w:r>
          </w:p>
        </w:tc>
      </w:tr>
      <w:tr w14:paraId="1AFC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B2D75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15</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D9B4A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安羽航空Anyu</w:t>
            </w:r>
            <w:r>
              <w:rPr>
                <w:rFonts w:hint="eastAsia" w:ascii="仿宋" w:hAnsi="仿宋" w:eastAsia="仿宋" w:cs="仿宋"/>
                <w:i w:val="0"/>
                <w:color w:val="auto"/>
                <w:kern w:val="0"/>
                <w:sz w:val="32"/>
                <w:szCs w:val="32"/>
                <w:highlight w:val="none"/>
                <w:u w:val="none"/>
                <w:lang w:val="en-US" w:eastAsia="zh-CN" w:bidi="ar"/>
              </w:rPr>
              <w:t xml:space="preserve"> </w:t>
            </w:r>
            <w:r>
              <w:rPr>
                <w:rFonts w:hint="eastAsia" w:ascii="仿宋" w:hAnsi="仿宋" w:eastAsia="仿宋" w:cs="仿宋"/>
                <w:i w:val="0"/>
                <w:color w:val="auto"/>
                <w:kern w:val="0"/>
                <w:sz w:val="32"/>
                <w:szCs w:val="32"/>
                <w:highlight w:val="none"/>
                <w:u w:val="none"/>
                <w:lang w:val="en-US" w:eastAsia="zh-CN" w:bidi="ar"/>
              </w:rPr>
              <w:t>Aviation</w:t>
            </w:r>
          </w:p>
        </w:tc>
      </w:tr>
      <w:tr w14:paraId="011C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25E57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16</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2762B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翼联农科团队</w:t>
            </w:r>
          </w:p>
        </w:tc>
      </w:tr>
      <w:tr w14:paraId="333E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CFFFF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17</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A667C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北京帝测科技股份有限公司</w:t>
            </w:r>
          </w:p>
        </w:tc>
      </w:tr>
      <w:tr w14:paraId="7AE5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64CCC6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18</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2E477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云境智感</w:t>
            </w:r>
          </w:p>
        </w:tc>
      </w:tr>
      <w:tr w14:paraId="7978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100FF6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19</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FF3FB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北京羽嘉科技有限责任公司</w:t>
            </w:r>
          </w:p>
        </w:tc>
      </w:tr>
      <w:tr w14:paraId="4FEE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3EDED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20</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1F6EE6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凌云增材科技团队</w:t>
            </w:r>
          </w:p>
        </w:tc>
      </w:tr>
      <w:tr w14:paraId="2710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86EFCA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21</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4A8E83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4D雷达团队</w:t>
            </w:r>
          </w:p>
        </w:tc>
      </w:tr>
      <w:tr w14:paraId="6220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90669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22</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40DA23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深圳市武测空间信息有限公司</w:t>
            </w:r>
          </w:p>
        </w:tc>
      </w:tr>
      <w:tr w14:paraId="02E1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5580B6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23</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14F0D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边界层AI</w:t>
            </w:r>
          </w:p>
        </w:tc>
      </w:tr>
      <w:tr w14:paraId="2CC4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28C6B8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24</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7F928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深圳市阿拉丁无人机有限公司</w:t>
            </w:r>
          </w:p>
        </w:tc>
      </w:tr>
      <w:tr w14:paraId="4C08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E8D7E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25</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095F88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面向半导体共形封装电磁屏蔽材料研发及产业化</w:t>
            </w:r>
          </w:p>
        </w:tc>
      </w:tr>
      <w:tr w14:paraId="7DF9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2ADAE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26</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583DDF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深圳市华辰空天科技有限公司</w:t>
            </w:r>
          </w:p>
        </w:tc>
      </w:tr>
      <w:tr w14:paraId="26E5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3A9C964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27</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781C84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安阳猎鹰消防科技有限公司</w:t>
            </w:r>
          </w:p>
        </w:tc>
      </w:tr>
      <w:tr w14:paraId="2782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0E1CBDE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28</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7570A4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量子空基通信团队</w:t>
            </w:r>
          </w:p>
        </w:tc>
      </w:tr>
      <w:tr w14:paraId="4EF0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BBCDD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29</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038F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星逻智能科技（苏州）有限公司</w:t>
            </w:r>
          </w:p>
        </w:tc>
      </w:tr>
      <w:tr w14:paraId="2DC9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7AAFD6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30</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6DA3BA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蜂巢航宇科技（北京）有限公司</w:t>
            </w:r>
          </w:p>
        </w:tc>
      </w:tr>
      <w:tr w14:paraId="355D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9E5B8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31</w:t>
            </w:r>
          </w:p>
        </w:tc>
        <w:tc>
          <w:tcPr>
            <w:tcW w:w="7184" w:type="dxa"/>
            <w:tcBorders>
              <w:top w:val="single" w:color="000000" w:sz="4" w:space="0"/>
              <w:left w:val="single" w:color="000000" w:sz="4" w:space="0"/>
              <w:bottom w:val="single" w:color="000000" w:sz="4" w:space="0"/>
              <w:right w:val="single" w:color="auto" w:sz="4" w:space="0"/>
            </w:tcBorders>
            <w:noWrap w:val="0"/>
            <w:vAlign w:val="center"/>
          </w:tcPr>
          <w:p w14:paraId="0A9E73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珠海互通微电子有限公司</w:t>
            </w:r>
          </w:p>
        </w:tc>
      </w:tr>
      <w:tr w14:paraId="2111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3ED82F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32</w:t>
            </w:r>
          </w:p>
        </w:tc>
        <w:tc>
          <w:tcPr>
            <w:tcW w:w="718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2474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江西智慧云测安全检测中心股份有限公司</w:t>
            </w:r>
          </w:p>
        </w:tc>
      </w:tr>
      <w:tr w14:paraId="35D0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6DC90FD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33</w:t>
            </w:r>
          </w:p>
        </w:tc>
        <w:tc>
          <w:tcPr>
            <w:tcW w:w="718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E84C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AeroGuard</w:t>
            </w:r>
          </w:p>
        </w:tc>
      </w:tr>
      <w:tr w14:paraId="0252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 w:hRule="atLeast"/>
        </w:trPr>
        <w:tc>
          <w:tcPr>
            <w:tcW w:w="869" w:type="dxa"/>
            <w:tcBorders>
              <w:top w:val="single" w:color="000000" w:sz="4" w:space="0"/>
              <w:left w:val="single" w:color="000000" w:sz="4" w:space="0"/>
              <w:bottom w:val="single" w:color="000000" w:sz="4" w:space="0"/>
              <w:right w:val="single" w:color="000000" w:sz="4" w:space="0"/>
            </w:tcBorders>
            <w:noWrap w:val="0"/>
            <w:vAlign w:val="center"/>
          </w:tcPr>
          <w:p w14:paraId="40F484B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34</w:t>
            </w:r>
          </w:p>
        </w:tc>
        <w:tc>
          <w:tcPr>
            <w:tcW w:w="718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5040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超高效电机技术团队</w:t>
            </w:r>
          </w:p>
        </w:tc>
      </w:tr>
    </w:tbl>
    <w:p w14:paraId="24F20283">
      <w:pPr>
        <w:ind w:firstLine="640" w:firstLineChars="200"/>
        <w:jc w:val="both"/>
        <w:rPr>
          <w:rFonts w:hint="eastAsia" w:ascii="黑体" w:hAnsi="黑体" w:eastAsia="黑体" w:cs="黑体"/>
          <w:sz w:val="32"/>
          <w:szCs w:val="32"/>
          <w:lang w:val="en-US" w:eastAsia="zh-CN"/>
        </w:rPr>
      </w:pPr>
    </w:p>
    <w:p w14:paraId="0F87FFA3">
      <w:pPr>
        <w:pStyle w:val="2"/>
        <w:rPr>
          <w:rFonts w:hint="eastAsia" w:ascii="黑体" w:hAnsi="黑体" w:eastAsia="黑体" w:cs="黑体"/>
          <w:sz w:val="32"/>
          <w:szCs w:val="32"/>
          <w:lang w:val="en-US" w:eastAsia="zh-CN"/>
        </w:rPr>
      </w:pPr>
    </w:p>
    <w:p w14:paraId="2B22C94E">
      <w:pPr>
        <w:pStyle w:val="2"/>
        <w:rPr>
          <w:rFonts w:hint="eastAsia" w:ascii="黑体" w:hAnsi="黑体" w:eastAsia="黑体" w:cs="黑体"/>
          <w:sz w:val="32"/>
          <w:szCs w:val="32"/>
          <w:lang w:val="en-US" w:eastAsia="zh-CN"/>
        </w:rPr>
      </w:pPr>
    </w:p>
    <w:p w14:paraId="1DE3D888">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二、技术创新产品展示</w:t>
      </w:r>
    </w:p>
    <w:tbl>
      <w:tblPr>
        <w:tblStyle w:val="3"/>
        <w:tblpPr w:leftFromText="180" w:rightFromText="180" w:vertAnchor="text" w:horzAnchor="page" w:tblpX="2115" w:tblpY="3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0"/>
        <w:gridCol w:w="7370"/>
      </w:tblGrid>
      <w:tr w14:paraId="2B7A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1"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FC89C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序号</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18C1F9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企业/团队名称</w:t>
            </w:r>
          </w:p>
        </w:tc>
      </w:tr>
      <w:tr w14:paraId="7455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C65AC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544769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空天知行合一(温州)航天科技有限公司</w:t>
            </w:r>
          </w:p>
        </w:tc>
      </w:tr>
      <w:tr w14:paraId="312D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7ACA2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2</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77BFC4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门到门网络出行（深圳）有限公司</w:t>
            </w:r>
          </w:p>
        </w:tc>
      </w:tr>
      <w:tr w14:paraId="194D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03A6B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3</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4A675AF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广州知行机器人科技有限公司</w:t>
            </w:r>
          </w:p>
        </w:tc>
      </w:tr>
      <w:tr w14:paraId="6D8B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1125C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4</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0CC42B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智徽</w:t>
            </w:r>
          </w:p>
        </w:tc>
      </w:tr>
      <w:tr w14:paraId="2E49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EF911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5</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6040DF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北京帝测科技股份有限公司</w:t>
            </w:r>
          </w:p>
        </w:tc>
      </w:tr>
      <w:tr w14:paraId="0CBA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2B750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auto"/>
                <w:kern w:val="0"/>
                <w:sz w:val="32"/>
                <w:szCs w:val="32"/>
                <w:highlight w:val="none"/>
                <w:u w:val="none"/>
                <w:lang w:val="en-US" w:eastAsia="zh-CN" w:bidi="ar"/>
              </w:rPr>
              <w:t>6</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648409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知天下(苏州)人工智能科技有限公司</w:t>
            </w:r>
          </w:p>
        </w:tc>
      </w:tr>
      <w:tr w14:paraId="1E7A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FEA6F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7</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56674F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陕西众科源泰动力科技有限公司</w:t>
            </w:r>
          </w:p>
        </w:tc>
      </w:tr>
      <w:tr w14:paraId="020C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E0345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8</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6620F9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倍飞智航（浙江）科技有限公司</w:t>
            </w:r>
          </w:p>
        </w:tc>
      </w:tr>
      <w:tr w14:paraId="46A8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EBAAF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9</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6F254A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酷世纪（广州）智能设备中心</w:t>
            </w:r>
          </w:p>
        </w:tc>
      </w:tr>
      <w:tr w14:paraId="42AB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81A8D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10</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7A10A7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北京观微科技有限公司</w:t>
            </w:r>
          </w:p>
        </w:tc>
      </w:tr>
      <w:tr w14:paraId="713D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C09AD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11</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2152F1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广州优飞信息科技有限公司</w:t>
            </w:r>
          </w:p>
        </w:tc>
      </w:tr>
      <w:tr w14:paraId="3B79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FB4C3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12</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3C2B84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深圳市千帆智能航空有限公司</w:t>
            </w:r>
          </w:p>
        </w:tc>
      </w:tr>
      <w:tr w14:paraId="41F9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BADED9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13</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230575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赛德雷特（珠海）航天科技有限公司</w:t>
            </w:r>
          </w:p>
        </w:tc>
      </w:tr>
      <w:tr w14:paraId="6E29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55FED9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14</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35DB5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蜂巢航宇科技（北京）有限公司</w:t>
            </w:r>
          </w:p>
        </w:tc>
      </w:tr>
      <w:tr w14:paraId="48D5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D8506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15</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7AE2ED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星逻智能科技（苏州）有限公司</w:t>
            </w:r>
          </w:p>
        </w:tc>
      </w:tr>
      <w:tr w14:paraId="496E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2E0F3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16</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55905C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中国航发哈尔滨轴承有限公司</w:t>
            </w:r>
          </w:p>
        </w:tc>
      </w:tr>
      <w:tr w14:paraId="3656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09D8B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17</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2C9EB3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苏州沃祥航空科技有限公司</w:t>
            </w:r>
          </w:p>
        </w:tc>
      </w:tr>
      <w:tr w14:paraId="3FCC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232EC6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18</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3D48A5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郑机所(郑州)传动科技有限公司</w:t>
            </w:r>
          </w:p>
        </w:tc>
      </w:tr>
      <w:tr w14:paraId="695A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D9372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19</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1A381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启天锤科技（深圳）有限公司</w:t>
            </w:r>
          </w:p>
        </w:tc>
      </w:tr>
      <w:tr w14:paraId="037B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E5CF70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20</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66391F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default" w:ascii="仿宋" w:hAnsi="仿宋" w:eastAsia="仿宋" w:cs="仿宋"/>
                <w:i w:val="0"/>
                <w:color w:val="auto"/>
                <w:kern w:val="0"/>
                <w:sz w:val="32"/>
                <w:szCs w:val="32"/>
                <w:u w:val="none"/>
                <w:lang w:val="en-US" w:eastAsia="zh-CN" w:bidi="ar"/>
              </w:rPr>
              <w:t>苏州东琉智能装备有限公司</w:t>
            </w:r>
          </w:p>
        </w:tc>
      </w:tr>
      <w:tr w14:paraId="1E0A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361DA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32"/>
                <w:szCs w:val="32"/>
                <w:highlight w:val="none"/>
                <w:u w:val="none"/>
                <w:lang w:val="en-US" w:eastAsia="zh-CN" w:bidi="ar"/>
              </w:rPr>
            </w:pPr>
            <w:r>
              <w:rPr>
                <w:rFonts w:hint="eastAsia" w:ascii="仿宋" w:hAnsi="仿宋" w:eastAsia="仿宋" w:cs="仿宋"/>
                <w:i w:val="0"/>
                <w:color w:val="000000"/>
                <w:kern w:val="0"/>
                <w:sz w:val="32"/>
                <w:szCs w:val="32"/>
                <w:highlight w:val="none"/>
                <w:u w:val="none"/>
                <w:lang w:val="en-US" w:eastAsia="zh-CN" w:bidi="ar"/>
              </w:rPr>
              <w:t>21</w:t>
            </w:r>
          </w:p>
        </w:tc>
        <w:tc>
          <w:tcPr>
            <w:tcW w:w="7370" w:type="dxa"/>
            <w:tcBorders>
              <w:top w:val="single" w:color="000000" w:sz="4" w:space="0"/>
              <w:left w:val="single" w:color="000000" w:sz="4" w:space="0"/>
              <w:bottom w:val="single" w:color="000000" w:sz="4" w:space="0"/>
              <w:right w:val="single" w:color="auto" w:sz="4" w:space="0"/>
            </w:tcBorders>
            <w:noWrap w:val="0"/>
            <w:vAlign w:val="center"/>
          </w:tcPr>
          <w:p w14:paraId="4A4D69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稀云</w:t>
            </w:r>
          </w:p>
        </w:tc>
      </w:tr>
    </w:tbl>
    <w:p w14:paraId="2BAC885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A2198"/>
    <w:rsid w:val="1D37970A"/>
    <w:rsid w:val="2DDF754E"/>
    <w:rsid w:val="30370E4C"/>
    <w:rsid w:val="4F6B4ADD"/>
    <w:rsid w:val="4FA4345A"/>
    <w:rsid w:val="74597B71"/>
    <w:rsid w:val="77CD5B30"/>
    <w:rsid w:val="79DEB34C"/>
    <w:rsid w:val="B3BA0D0C"/>
    <w:rsid w:val="BE7BE40B"/>
    <w:rsid w:val="DBFFC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nhideWhenUsed/>
    <w:qFormat/>
    <w:uiPriority w:val="99"/>
    <w:pPr>
      <w:spacing w:line="580" w:lineRule="exact"/>
    </w:pPr>
    <w:rPr>
      <w:rFonts w:ascii="宋体" w:hAnsi="宋体"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1208</Words>
  <Characters>1297</Characters>
  <Lines>1</Lines>
  <Paragraphs>1</Paragraphs>
  <TotalTime>16</TotalTime>
  <ScaleCrop>false</ScaleCrop>
  <LinksUpToDate>false</LinksUpToDate>
  <CharactersWithSpaces>1298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2023-10-08T09:32:00Z</dcterms:created>
  <dc:creator>kylin</dc:creator>
  <cp:lastModifiedBy>su</cp:lastModifiedBy>
  <dcterms:modified xsi:type="dcterms:W3CDTF">2025-11-14T17:34:49Z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3CA4670A026B414AAD13EFB7261DF510_13</vt:lpwstr>
  </property>
  <property fmtid="{D5CDD505-2E9C-101B-9397-08002B2CF9AE}" pid="4" name="KSOTemplateDocerSaveRecord">
    <vt:lpwstr>eyJoZGlkIjoiYTcwNTQ3NGY3YTcxMzZjZmRlNjU1ZTk1Nzc5MGNhZDUiLCJ1c2VySWQiOiI5NzY4MTUwNjMifQ==</vt:lpwstr>
  </property>
</Properties>
</file>